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12" w:rsidRPr="00890396" w:rsidRDefault="00890C12" w:rsidP="00890C12">
      <w:pPr>
        <w:pageBreakBefore/>
        <w:suppressAutoHyphens/>
        <w:spacing w:after="0" w:line="240" w:lineRule="auto"/>
        <w:ind w:left="10206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Приложение №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</w:p>
    <w:p w:rsidR="00890C12" w:rsidRPr="00890396" w:rsidRDefault="00890C12" w:rsidP="00890C12">
      <w:pPr>
        <w:suppressAutoHyphens/>
        <w:spacing w:after="0" w:line="240" w:lineRule="auto"/>
        <w:ind w:left="10206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к приказу Департамента государственных закупок </w:t>
      </w:r>
    </w:p>
    <w:p w:rsidR="00890C12" w:rsidRPr="00890396" w:rsidRDefault="00890C12" w:rsidP="00890C12">
      <w:pPr>
        <w:suppressAutoHyphens/>
        <w:spacing w:after="0" w:line="240" w:lineRule="auto"/>
        <w:ind w:left="10206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Свердловской области </w:t>
      </w:r>
    </w:p>
    <w:p w:rsidR="00890C12" w:rsidRPr="00890396" w:rsidRDefault="00890C12" w:rsidP="00890C12">
      <w:pPr>
        <w:suppressAutoHyphens/>
        <w:spacing w:after="0" w:line="240" w:lineRule="auto"/>
        <w:ind w:left="10206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bookmarkStart w:id="1" w:name="date"/>
      <w:bookmarkEnd w:id="1"/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____</w:t>
      </w:r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>г</w:t>
      </w:r>
      <w:proofErr w:type="gramEnd"/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>. №</w:t>
      </w:r>
      <w:bookmarkStart w:id="2" w:name="num"/>
      <w:bookmarkEnd w:id="2"/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</w:t>
      </w:r>
    </w:p>
    <w:p w:rsidR="00890C12" w:rsidRPr="00890396" w:rsidRDefault="00890C12" w:rsidP="00890C12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  <w:r w:rsidRPr="00890396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Pr="0089039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Об утверждении Методических рекомендаций Департамента государственных закупок Свердловской области по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проведению</w:t>
      </w:r>
      <w:r w:rsidRPr="0089039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правовой экспертизы государственных (муниципальных) контрактов на осуществление закупок товаров, работ, услуг</w:t>
      </w:r>
      <w:r w:rsidRPr="0089039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»</w:t>
      </w:r>
    </w:p>
    <w:p w:rsidR="009969E7" w:rsidRDefault="009969E7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E7" w:rsidRDefault="009969E7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9E7" w:rsidRDefault="009969E7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12" w:rsidRPr="00890396" w:rsidRDefault="00890C12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396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890C12" w:rsidRDefault="00890C12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890396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государственных закупок Свердловской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90C12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 проведению правовой экспертизы государственных (муниципальных) контрактов на осуществление закупок товаров, работ, услуг</w:t>
      </w:r>
    </w:p>
    <w:p w:rsidR="00FA29B1" w:rsidRDefault="00FA29B1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FA29B1" w:rsidRPr="00890C12" w:rsidRDefault="00FA29B1" w:rsidP="00890C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12" w:rsidRDefault="00890C12" w:rsidP="00890C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0396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890C12" w:rsidRPr="00890396" w:rsidRDefault="00890C12" w:rsidP="00890C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0C12" w:rsidRDefault="00890C12" w:rsidP="00996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154A5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государственных закупок Свердловской области (далее – Департамент) как орган,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осуществляющи</w:t>
      </w:r>
      <w:r w:rsidR="009969E7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по определению поставщиков (подрядчиков, исполнителей) для </w:t>
      </w:r>
      <w:r w:rsidR="009969E7">
        <w:rPr>
          <w:rFonts w:ascii="Times New Roman" w:hAnsi="Times New Roman" w:cs="Times New Roman"/>
          <w:sz w:val="28"/>
          <w:szCs w:val="28"/>
          <w:lang w:eastAsia="ru-RU"/>
        </w:rPr>
        <w:t xml:space="preserve">заказчиков Свердловской области </w:t>
      </w:r>
      <w:r w:rsidRPr="00E154A5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разработаны настоящие методические рекомендации с целью оказания содействия </w:t>
      </w:r>
      <w:r w:rsidR="009969E7">
        <w:rPr>
          <w:rFonts w:ascii="Times New Roman" w:hAnsi="Times New Roman" w:cs="Times New Roman"/>
          <w:sz w:val="28"/>
          <w:szCs w:val="28"/>
          <w:lang w:eastAsia="ru-RU"/>
        </w:rPr>
        <w:t>отделу правовой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Pr="00E154A5">
        <w:rPr>
          <w:rFonts w:ascii="Times New Roman" w:hAnsi="Times New Roman" w:cs="Times New Roman"/>
          <w:sz w:val="28"/>
          <w:szCs w:val="28"/>
          <w:lang w:eastAsia="ru-RU"/>
        </w:rPr>
        <w:t xml:space="preserve"> при </w:t>
      </w:r>
      <w:r w:rsidR="009969E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проведении</w:t>
      </w:r>
      <w:r w:rsidR="009969E7" w:rsidRPr="00890396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9969E7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правовой экспертизы государственных (муниципальных) контрактов на осуществление закупок товаров, работ, услуг </w:t>
      </w:r>
      <w:r w:rsidR="009969E7">
        <w:rPr>
          <w:rFonts w:ascii="Times New Roman" w:eastAsiaTheme="minorHAnsi" w:hAnsi="Times New Roman" w:cs="Times New Roman"/>
          <w:sz w:val="28"/>
          <w:szCs w:val="28"/>
        </w:rPr>
        <w:t xml:space="preserve">на предмет их соответствия требованиям </w:t>
      </w:r>
      <w:r w:rsidRPr="003C51B4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9969E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C51B4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9969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C5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1B4">
        <w:rPr>
          <w:rFonts w:ascii="Times New Roman" w:hAnsi="Times New Roman" w:cs="Times New Roman"/>
          <w:sz w:val="28"/>
          <w:szCs w:val="28"/>
          <w:lang w:eastAsia="ru-RU"/>
        </w:rPr>
        <w:t>от 05.04.2013 № 44-ФЗ «О контрактной</w:t>
      </w:r>
      <w:proofErr w:type="gramEnd"/>
      <w:r w:rsidRPr="003C5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1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системе в сфере закупок товаров, работ, услуг для обеспечения государственных и муниципальных нужд» (далее</w:t>
      </w:r>
      <w:r w:rsidRPr="00E154A5">
        <w:rPr>
          <w:rFonts w:ascii="Times New Roman" w:hAnsi="Times New Roman" w:cs="Times New Roman"/>
          <w:sz w:val="28"/>
          <w:szCs w:val="28"/>
          <w:lang w:eastAsia="ru-RU"/>
        </w:rPr>
        <w:t xml:space="preserve"> – Закон о контрактной системе).</w:t>
      </w:r>
    </w:p>
    <w:p w:rsidR="00FA29B1" w:rsidRDefault="00FA29B1" w:rsidP="00996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C12" w:rsidRPr="00890C12" w:rsidRDefault="00890C12" w:rsidP="00890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0C12">
        <w:rPr>
          <w:rFonts w:ascii="Times New Roman" w:hAnsi="Times New Roman" w:cs="Times New Roman"/>
          <w:b/>
          <w:sz w:val="28"/>
          <w:szCs w:val="28"/>
          <w:lang w:eastAsia="ru-RU"/>
        </w:rPr>
        <w:t>Раздел 2.</w:t>
      </w:r>
    </w:p>
    <w:p w:rsidR="00890C12" w:rsidRDefault="00890C12" w:rsidP="00890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781"/>
        <w:gridCol w:w="4819"/>
      </w:tblGrid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сведений в проекте контракта в части: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890C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 определения поставщика (подрядчика, исполнителя)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(необходимо проверить во всех разделах документации об электронном аукционе (конкурсе) и плане-графике)</w:t>
            </w:r>
            <w:r w:rsidRPr="00890C1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 предмета контракта (необходимо проверить во всех разделах документации об электронном аукционе (конкурсе) и плане-графике)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срока действия контракта, он должен быть ограничен датой (необходимо проверить во всех разделах документации об электронном аукционе (конкурсе)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наличия всех приложений.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890C1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Наличия следующих условий: 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1) условие о том, что цена контракта является твердой и определяется на весь срок его исполнения.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данного правила существует единственное исключение: в ряде случаев в контракте могут быть определены ориентировочное значение цены или формула цены и максимальное значение цены контракта, предусмотренные в документации о закупке. Перечень случаев, в которых при заключении контракта указываются формула цены и ее максимальное значение, установлен </w:t>
            </w:r>
            <w:hyperlink r:id="rId7" w:history="1">
              <w:r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Правительства РФ от 13.01.2014 № 19. К ним отнесено заключение контракта на предоставление услуг обязательного страхования, агентских услуг и услуг по оценке недвижимого имущества;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в графе «В цену контракта входит» необходимо исключать фразу: «в том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НДС 18% - ____________  рублей», поскольку победителем электронного аукциона может являться юридическое лицо, которое использует иную форму налогообложения (например: упрощенная система налогообложения);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ч. 2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969E7" w:rsidRDefault="009969E7" w:rsidP="005A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Правительства РФ от 13.01.2014 № 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ч.2 ст. 34 Закона о контрактной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условие об </w:t>
            </w:r>
            <w:hyperlink r:id="rId8" w:history="1">
              <w:r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ответственности</w:t>
              </w:r>
            </w:hyperlink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заказчика и поставщика (подрядчика, исполнителя) за неисполнение или ненадлежащее исполнение обязательств, предусмотренных контрактом. 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Ответственность должна быть установлена в соответствии с частями 5-9 статьи 34 Закона № 44-ФЗ, Постановлением Правительства РФ от 25.11.2013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контрактом», Письмом ФАС России от 21.10.2014 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4 ст. 34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6.1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90C12" w:rsidRPr="00890C12" w:rsidRDefault="009969E7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остановление Правительства 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от 25.11.2013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1063, 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ФАС России от 21.10.2014 </w:t>
            </w:r>
            <w:r w:rsidR="009969E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№ АЦ/42516/14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условие о порядке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сроках оплаты товара, работы или услуги,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порядок и сроки оформления результатов такой приемки. В случае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контракт включается обязательное условие об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уменьшении суммы, подлежащей уплате физическому лицу, на размер налоговых платежей, связанных с оплатой контракта, в соответствии с Письмом ФАС России от 21.10.2014 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АЦ/42516/14 «О направлении информации о включении в контракт условий об уплате неустойки, а также об уменьшении суммы, подлежащей уплате физическому лицу в случае заключения с ним контракта, на размер налоговых платежей».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Поставщик (подрядчик, исполнитель) в соответствии с условиями контракта </w:t>
            </w:r>
            <w:r w:rsidRPr="00890C1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обязан своевременно предоставлять достоверную информацию о ходе исполнения своих обязательств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 том числе о сложностях, возникающих при исполнении контракта, в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</w:t>
            </w:r>
            <w:r w:rsidRPr="00890C1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заказчик обязан обеспечить приемку поставленного товара, выполненной работы или оказанной услуги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13 ст. 34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90C12" w:rsidRPr="00890C12" w:rsidRDefault="00890C12" w:rsidP="009969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2 ст. 94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rPr>
          <w:trHeight w:val="586"/>
        </w:trPr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5) о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возможности одностороннего отказа от исполнения контракта в соответствии с положениями </w:t>
            </w:r>
            <w:hyperlink r:id="rId11" w:history="1">
              <w:r w:rsidRPr="00890C1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частей 8</w:t>
              </w:r>
            </w:hyperlink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hyperlink r:id="rId12" w:history="1">
              <w:r w:rsidRPr="00890C1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26 статьи 95</w:t>
              </w:r>
            </w:hyperlink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Закона № 44-ФЗ;</w:t>
            </w:r>
          </w:p>
          <w:p w:rsidR="00890C12" w:rsidRDefault="00890C12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9E7" w:rsidRDefault="009969E7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9E7" w:rsidRPr="00890C12" w:rsidRDefault="009969E7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заказчик не вправе предусматривать основания для одностороннего отказа от исполнения контракта за исключением тех, которые предусмотрены гражданским законодательством по соответствующему виду контракта;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14 ст. 34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8 ст. 95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Пленума ВАС РФ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br/>
              <w:t>от 14.03.2014 №16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7) о  праве заказчика при заключении контракта по согласованию с участником закупки, с которым в соответствии с Законом № 44-ФЗ заключается контракт,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лота), если это право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заказчика предусмотрено документацией о закупке;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18 ст. 34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9969E7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8) о праве заказчика при исполнении контракта по согласованию с поставщиком изменить условия контракта;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ч. 1  п. 1 ст. 95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9)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банковском сопровождении контракта в случаях, установленных в соответствии со </w:t>
            </w:r>
            <w:hyperlink r:id="rId15" w:history="1">
              <w:r w:rsidRPr="00890C12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статьей 35</w:t>
              </w:r>
            </w:hyperlink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Закона № 44-ФЗ, постановлением Правительства Свердловской области от 20.10.2014 № 881-ПП «Об определении случаев осуществления банковского сопровождения контрактов, заключаемых для обеспечения нужд Свердловской области» (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обязательное осуществление банковского сопровождения контрактов в случае, если начальная (максимальная) цена контракта либо цена контракта, заключаемого с единственным поставщиком (подрядчиком, исполнителем), составляет пятьсот миллионов рублей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 и более, за исключением контрактов, предметом которых является оказание услуг по предоставлению кредитных сре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я частичного финансирования дефицита областного бюджета Свердловской области и (или) погашения долговых обязательств Свердловской области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26 ст. 34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9969E7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10) о предоставлении обеспечения исполнения контракта, способ обеспечения (банковская гарантия (срок действия), залог денежных средств, сумма, срок обеспечения, реквизиты документов, подтверждающих его внесение). </w:t>
            </w:r>
            <w:proofErr w:type="gramStart"/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      </w:r>
            <w:proofErr w:type="gramEnd"/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Срок действия банковской гарантии должен превышать срок действия контракта не менее чем на один месяц  и должен быть ограничен датой;</w:t>
            </w:r>
          </w:p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11) условие о том, что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случае, если предложенная в заявке победителем цена снижена на двадцать пять и более процентов по отношению к начальной (максимальной) цене контракта, обеспечение исполнения контракта предоставляется с учетом положений статьи 37 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Закона № 44-ФЗ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12) 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условие о том, что 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случае, если начальная (максимальная) цена контракта превышает пятьдесят миллионов рублей, заказчик обязан установить требование обеспечения исполнения контракта в размере от десяти до тридцати процентов начальной (максимальной) цены контракта, но не менее чем в размере аванса (если контрактом предусмотрена выплата аванса). В случае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1F3F64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="00890C12" w:rsidRPr="00890C12">
                <w:rPr>
                  <w:rFonts w:ascii="Times New Roman" w:eastAsia="Calibri" w:hAnsi="Times New Roman" w:cs="Times New Roman"/>
                  <w:sz w:val="28"/>
                  <w:szCs w:val="28"/>
                </w:rPr>
                <w:t>ч. 1 и ч. 2.1  ст. 96</w:t>
              </w:r>
            </w:hyperlink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3 ст. 96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27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2 ст. 37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ч. 6 ст. 96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13) об обязанности заказчика провести экспертизу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№ 44-ФЗ;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3 ст. 94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14) если контракт 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заключается на срок более чем три года и цена контракта составляет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более чем сто миллионов рублей контракт должен включать в себя график исполнения контракта;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12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15) дополнительное условие о продаже лесных насаждений для заготовки древесины при заключении контракта на выполнение работ по охране, защите, воспроизводству лесов в соответствии с положениями статьи 19 Лесного кодекса РФ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28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16) расторжение контракта: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соглашению сторон;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решению суда;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 одностороннем отказе стороны от исполнения контракта по основаниям, предусмотренным ГК РФ для одностороннего отказа от исполнения отдельных видов обязатель</w:t>
            </w: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условии, если это было предусмотрено контрактом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14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95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ст. 310, 450, 523, 715, 717, 782 Гражданского кодекса РФ</w:t>
            </w: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18) условие о том, что при осуществлении закупки у субъектов малого предпринимательства, социально ориентированных некоммерческих организаций в контракт,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тридцати дней с даты подписания заказчиком документа о приемке, предусмотренного частью 7 статьи 94 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Закона 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№ 44-ФЗ;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8 ст. 30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19) в случае, если установлено в контракте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в случае, предусмотренном частью 5 статьи 30 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Закона № 44-ФЗ</w:t>
            </w: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контракты  включается объем такого привлечения, установленный в виде процента от цены контракта;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ч. 6 ст. 30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20)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в контракт нельзя включать такие события неопределимой силы как приостановление, прекращение (отсутствие) финансирования работ по контракту, в связи с изменениями законодательства и (или) в иных случаях, предусмотренных законодательством, акты органов государственной власти и прочее, поскольку юридическая квалификация обстоятельства как непреодолимой силы возможна только при одновременном наличии совокупности ее существенных характеристик: чрезвычайности и </w:t>
            </w:r>
            <w:proofErr w:type="spellStart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непредотвратимости</w:t>
            </w:r>
            <w:proofErr w:type="spell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под чрезвычайностью понимается исключительность, выход за пределы "нормального", обыденного, необычайность для тех или иных жизненных условий, что не относится к жизненному риску и не может быть учтено ни при каких обстоятельствах.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Чрезвычайный характер непреодолимой силы не допускает квалификации в качестве таковой любого жизненного факта, ее отличие от случая в том, что она имеет в основе объективную, а не субъективную </w:t>
            </w:r>
            <w:proofErr w:type="spellStart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непредотвратимость</w:t>
            </w:r>
            <w:proofErr w:type="spell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от 21.06.2012 </w:t>
            </w:r>
            <w:r w:rsidR="009969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№ 3352/12 Президиума Высшего Арбитражного Суда Российской Федерации</w:t>
            </w:r>
          </w:p>
        </w:tc>
      </w:tr>
      <w:tr w:rsidR="00890C12" w:rsidRPr="00890C12" w:rsidTr="005A335E">
        <w:tc>
          <w:tcPr>
            <w:tcW w:w="817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781" w:type="dxa"/>
            <w:shd w:val="clear" w:color="auto" w:fill="auto"/>
          </w:tcPr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21) учитывать особенности отдельных категорий контрактов: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энергосервисный</w:t>
            </w:r>
            <w:proofErr w:type="spellEnd"/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контракт</w:t>
            </w: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9E7" w:rsidRDefault="009969E7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969E7" w:rsidRPr="00890C12" w:rsidRDefault="009969E7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0C12" w:rsidRPr="00890C12" w:rsidRDefault="00890C12" w:rsidP="005A3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контракт жизненного цикла</w:t>
            </w:r>
          </w:p>
        </w:tc>
        <w:tc>
          <w:tcPr>
            <w:tcW w:w="4819" w:type="dxa"/>
            <w:shd w:val="clear" w:color="auto" w:fill="auto"/>
          </w:tcPr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ст. 108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="009969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</w:t>
            </w:r>
            <w:r w:rsidR="009969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РФ от 18.08.2010г. </w:t>
            </w: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№ 636 «О требованиях к условиям </w:t>
            </w:r>
            <w:proofErr w:type="spellStart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энергосервисного</w:t>
            </w:r>
            <w:proofErr w:type="spell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и об особенностях определения начальной (максимальной) цены </w:t>
            </w:r>
            <w:proofErr w:type="spellStart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>энергосервисного</w:t>
            </w:r>
            <w:proofErr w:type="spellEnd"/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(цены лота)»</w:t>
            </w:r>
          </w:p>
          <w:p w:rsidR="00890C12" w:rsidRPr="00890C12" w:rsidRDefault="00890C12" w:rsidP="005A3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9E7" w:rsidRDefault="00890C12" w:rsidP="00996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C12">
              <w:rPr>
                <w:rFonts w:ascii="Times New Roman" w:hAnsi="Times New Roman" w:cs="Times New Roman"/>
                <w:sz w:val="28"/>
                <w:szCs w:val="28"/>
              </w:rPr>
              <w:t xml:space="preserve">ч. 16 ст. 34 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</w:t>
            </w:r>
            <w:r w:rsidR="009969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969E7" w:rsidRPr="00E154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контрактной системе</w:t>
            </w:r>
            <w:r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90C12" w:rsidRPr="00890C12" w:rsidRDefault="009969E7" w:rsidP="009969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остановление Правительства РФ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от 28.11.2013 № 1087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0C12" w:rsidRPr="00890C12">
              <w:rPr>
                <w:rFonts w:ascii="Times New Roman" w:eastAsia="Calibri" w:hAnsi="Times New Roman" w:cs="Times New Roman"/>
                <w:sz w:val="28"/>
                <w:szCs w:val="28"/>
              </w:rPr>
              <w:t>«Об определении случаев заключения контракта жизненного цикла»</w:t>
            </w:r>
          </w:p>
        </w:tc>
      </w:tr>
    </w:tbl>
    <w:p w:rsidR="00890C12" w:rsidRPr="00890C12" w:rsidRDefault="00890C12">
      <w:pPr>
        <w:rPr>
          <w:rFonts w:ascii="Times New Roman" w:hAnsi="Times New Roman" w:cs="Times New Roman"/>
          <w:sz w:val="28"/>
          <w:szCs w:val="28"/>
        </w:rPr>
      </w:pPr>
    </w:p>
    <w:sectPr w:rsidR="00890C12" w:rsidRPr="00890C12" w:rsidSect="00FA29B1">
      <w:headerReference w:type="default" r:id="rId1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DB" w:rsidRDefault="008520DB" w:rsidP="00FA29B1">
      <w:pPr>
        <w:spacing w:after="0" w:line="240" w:lineRule="auto"/>
      </w:pPr>
      <w:r>
        <w:separator/>
      </w:r>
    </w:p>
  </w:endnote>
  <w:endnote w:type="continuationSeparator" w:id="0">
    <w:p w:rsidR="008520DB" w:rsidRDefault="008520DB" w:rsidP="00FA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DB" w:rsidRDefault="008520DB" w:rsidP="00FA29B1">
      <w:pPr>
        <w:spacing w:after="0" w:line="240" w:lineRule="auto"/>
      </w:pPr>
      <w:r>
        <w:separator/>
      </w:r>
    </w:p>
  </w:footnote>
  <w:footnote w:type="continuationSeparator" w:id="0">
    <w:p w:rsidR="008520DB" w:rsidRDefault="008520DB" w:rsidP="00FA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14944"/>
      <w:docPartObj>
        <w:docPartGallery w:val="Page Numbers (Top of Page)"/>
        <w:docPartUnique/>
      </w:docPartObj>
    </w:sdtPr>
    <w:sdtEndPr/>
    <w:sdtContent>
      <w:p w:rsidR="00FA29B1" w:rsidRDefault="00FA29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64">
          <w:rPr>
            <w:noProof/>
          </w:rPr>
          <w:t>2</w:t>
        </w:r>
        <w:r>
          <w:fldChar w:fldCharType="end"/>
        </w:r>
      </w:p>
    </w:sdtContent>
  </w:sdt>
  <w:p w:rsidR="00FA29B1" w:rsidRDefault="00FA29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12"/>
    <w:rsid w:val="001F3F64"/>
    <w:rsid w:val="006534D9"/>
    <w:rsid w:val="008520DB"/>
    <w:rsid w:val="00890C12"/>
    <w:rsid w:val="009969E7"/>
    <w:rsid w:val="00D95B28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1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9B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F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9B1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1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9B1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FA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9B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91E63EA886DF1366F4F199AEA7EB61C8826851F15A6FC6A697D1CEC3F6B5157898TEy3L" TargetMode="External"/><Relationship Id="rId13" Type="http://schemas.openxmlformats.org/officeDocument/2006/relationships/hyperlink" Target="consultantplus://offline/ref=59BB91E63EA886DF1366E8FB89AEA7EB68C4D5360DF8503A9EF9CE9389CAFCE1563C96E1B9BA2A53TDy4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BB91E63EA886DF1366E8FB89AEA7EB68C6D33006F9503A9EF9CE9389TCyAL" TargetMode="External"/><Relationship Id="rId12" Type="http://schemas.openxmlformats.org/officeDocument/2006/relationships/hyperlink" Target="consultantplus://offline/ref=1125F67180B7773D8B98ACBD307C2BF2B2704E3A6AB3220FE42EB596D43A01A3906A2AC6E74F9325C5R4O" TargetMode="External"/><Relationship Id="rId17" Type="http://schemas.openxmlformats.org/officeDocument/2006/relationships/hyperlink" Target="consultantplus://offline/ref=59BB91E63EA886DF1366E8FB89AEA7EB68C4D5360DF8503A9EF9CE9389CAFCE1563C96E1B9BB2D56TDy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BB91E63EA886DF1366E8FB89AEA7EB68C4D5360DF8503A9EF9CE9389CAFCE1563C96E1B9BA2A53TDy4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25F67180B7773D8B98ACBD307C2BF2B2704E3A6AB3220FE42EB596D43A01A3906A2AC6E74F9323C5R2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25F67180B7773D8B98ACBD307C2BF2B2704E3A6AB3220FE42EB596D43A01A3906A2AC6E74E9423C5RFO" TargetMode="External"/><Relationship Id="rId10" Type="http://schemas.openxmlformats.org/officeDocument/2006/relationships/hyperlink" Target="consultantplus://offline/ref=59BB91E63EA886DF1366E8FB89AEA7EB68C4D5360DF8503A9EF9CE9389CAFCE1563C96E1B9BA2A53TDy4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BB91E63EA886DF1366E8FB89AEA7EB68C4D5360DF8503A9EF9CE9389CAFCE1563C96E1B9BA2A52TDy3L" TargetMode="External"/><Relationship Id="rId14" Type="http://schemas.openxmlformats.org/officeDocument/2006/relationships/hyperlink" Target="consultantplus://offline/ref=59BB91E63EA886DF1366E8FB89AEA7EB68C4D5360DF8503A9EF9CE9389CAFCE1563C96E1B9BA2A53TD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М.С.</dc:creator>
  <cp:lastModifiedBy>Богданова М.С.</cp:lastModifiedBy>
  <cp:revision>2</cp:revision>
  <dcterms:created xsi:type="dcterms:W3CDTF">2016-03-22T05:56:00Z</dcterms:created>
  <dcterms:modified xsi:type="dcterms:W3CDTF">2016-03-22T05:56:00Z</dcterms:modified>
</cp:coreProperties>
</file>